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17" w:rsidRDefault="009F1E17" w:rsidP="009F1E17">
      <w:pPr>
        <w:spacing w:after="0" w:line="240" w:lineRule="auto"/>
        <w:jc w:val="center"/>
        <w:rPr>
          <w:rFonts w:ascii="Arial" w:hAnsi="Arial" w:cs="Arial"/>
          <w:b/>
          <w:sz w:val="24"/>
          <w:szCs w:val="24"/>
        </w:rPr>
      </w:pPr>
      <w:r>
        <w:rPr>
          <w:rFonts w:ascii="Arial" w:hAnsi="Arial" w:cs="Arial"/>
          <w:b/>
          <w:sz w:val="24"/>
          <w:szCs w:val="24"/>
        </w:rPr>
        <w:t>REVISED FUNCTIONS IN THE NINE DEPARTMENT MODEL</w:t>
      </w:r>
    </w:p>
    <w:p w:rsidR="009F1E17" w:rsidRDefault="009F1E17" w:rsidP="009F1E17">
      <w:pPr>
        <w:spacing w:after="0" w:line="240" w:lineRule="auto"/>
        <w:jc w:val="center"/>
        <w:rPr>
          <w:rFonts w:ascii="Arial" w:hAnsi="Arial" w:cs="Arial"/>
          <w:b/>
          <w:sz w:val="24"/>
          <w:szCs w:val="24"/>
        </w:rPr>
      </w:pPr>
    </w:p>
    <w:tbl>
      <w:tblPr>
        <w:tblStyle w:val="LightGrid-Accent11"/>
        <w:tblpPr w:leftFromText="180" w:rightFromText="180" w:vertAnchor="text" w:horzAnchor="margin" w:tblpXSpec="center" w:tblpY="99"/>
        <w:tblW w:w="9322" w:type="dxa"/>
        <w:tblLook w:val="04A0"/>
      </w:tblPr>
      <w:tblGrid>
        <w:gridCol w:w="2235"/>
        <w:gridCol w:w="7087"/>
      </w:tblGrid>
      <w:tr w:rsidR="009F1E17" w:rsidRPr="00D970A6" w:rsidTr="004034AC">
        <w:trPr>
          <w:cnfStyle w:val="10000000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Department</w:t>
            </w:r>
          </w:p>
        </w:tc>
        <w:tc>
          <w:tcPr>
            <w:tcW w:w="7087" w:type="dxa"/>
            <w:hideMark/>
          </w:tcPr>
          <w:p w:rsidR="009F1E17" w:rsidRPr="00D970A6" w:rsidRDefault="009F1E17" w:rsidP="004034AC">
            <w:pPr>
              <w:cnfStyle w:val="100000000000"/>
              <w:rPr>
                <w:rFonts w:ascii="Arial" w:hAnsi="Arial" w:cs="Arial"/>
              </w:rPr>
            </w:pPr>
            <w:r w:rsidRPr="00D970A6">
              <w:rPr>
                <w:rFonts w:ascii="Arial" w:hAnsi="Arial" w:cs="Arial"/>
              </w:rPr>
              <w:t>Functions</w:t>
            </w:r>
          </w:p>
        </w:tc>
      </w:tr>
      <w:tr w:rsidR="009F1E17" w:rsidRPr="00D970A6" w:rsidTr="004034AC">
        <w:trPr>
          <w:cnfStyle w:val="00000010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of Agriculture, Environment and Rural Affairs</w:t>
            </w:r>
          </w:p>
        </w:tc>
        <w:tc>
          <w:tcPr>
            <w:tcW w:w="7087" w:type="dxa"/>
            <w:hideMark/>
          </w:tcPr>
          <w:p w:rsidR="009F1E17" w:rsidRPr="00D970A6" w:rsidRDefault="009F1E17" w:rsidP="004034AC">
            <w:pPr>
              <w:cnfStyle w:val="000000100000"/>
              <w:rPr>
                <w:rFonts w:ascii="Arial" w:hAnsi="Arial" w:cs="Arial"/>
                <w:u w:val="single"/>
              </w:rPr>
            </w:pPr>
            <w:r w:rsidRPr="00D970A6">
              <w:rPr>
                <w:rFonts w:ascii="Arial" w:hAnsi="Arial" w:cs="Arial"/>
                <w:u w:val="single"/>
              </w:rPr>
              <w:t>Department of Agriculture and Rural Development functions (less Rivers Agency) plus</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Environmental functions from the Department of the Environment (including regulation and excluding Built Heritage from the Northern Ireland Environment Agency)</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Inland Fisheries from the Department of Culture, Arts and Leisure</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 xml:space="preserve">Policy Responsibility for Sustainability Strategy </w:t>
            </w:r>
          </w:p>
        </w:tc>
      </w:tr>
      <w:tr w:rsidR="009F1E17" w:rsidRPr="00D970A6" w:rsidTr="004034AC">
        <w:trPr>
          <w:cnfStyle w:val="00000001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for Infrastructure</w:t>
            </w:r>
          </w:p>
        </w:tc>
        <w:tc>
          <w:tcPr>
            <w:tcW w:w="7087" w:type="dxa"/>
            <w:hideMark/>
          </w:tcPr>
          <w:p w:rsidR="009F1E17" w:rsidRPr="00D970A6" w:rsidRDefault="009F1E17" w:rsidP="004034AC">
            <w:pPr>
              <w:cnfStyle w:val="000000010000"/>
              <w:rPr>
                <w:rFonts w:ascii="Arial" w:hAnsi="Arial" w:cs="Arial"/>
                <w:u w:val="single"/>
              </w:rPr>
            </w:pPr>
            <w:r w:rsidRPr="00D970A6">
              <w:rPr>
                <w:rFonts w:ascii="Arial" w:hAnsi="Arial" w:cs="Arial"/>
                <w:u w:val="single"/>
              </w:rPr>
              <w:t>Department for Regional Development functions plus</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Vehicle regulation, road safety and Driver and Vehicle Agency functions from Department of the Environment</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Strategic planning from the Department of the Environment</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Rivers Agency from the Department of Agriculture and Rural Development</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Inland waterways from  the Department of Culture, Arts and Leisure</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Crumlin Road Goal Programme-Project management from the Office of the First Minister and Deputy First Minister</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St Lucia ex-Ministry of Defence site from the Office of the First Minister and Deputy First Minister</w:t>
            </w:r>
          </w:p>
        </w:tc>
      </w:tr>
      <w:tr w:rsidR="009F1E17" w:rsidRPr="00D970A6" w:rsidTr="004034AC">
        <w:trPr>
          <w:cnfStyle w:val="00000010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for the Economy</w:t>
            </w:r>
          </w:p>
        </w:tc>
        <w:tc>
          <w:tcPr>
            <w:tcW w:w="7087" w:type="dxa"/>
            <w:hideMark/>
          </w:tcPr>
          <w:p w:rsidR="009F1E17" w:rsidRPr="00D970A6" w:rsidRDefault="009F1E17" w:rsidP="004034AC">
            <w:pPr>
              <w:cnfStyle w:val="000000100000"/>
              <w:rPr>
                <w:rFonts w:ascii="Arial" w:hAnsi="Arial" w:cs="Arial"/>
                <w:u w:val="single"/>
              </w:rPr>
            </w:pPr>
            <w:r w:rsidRPr="00D970A6">
              <w:rPr>
                <w:rFonts w:ascii="Arial" w:hAnsi="Arial" w:cs="Arial"/>
                <w:u w:val="single"/>
              </w:rPr>
              <w:t>Department of Enterprise, Trade and Investment functions plus</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Department for Employment and Learning functions except Employment Service</w:t>
            </w:r>
          </w:p>
        </w:tc>
      </w:tr>
      <w:tr w:rsidR="009F1E17" w:rsidRPr="00D970A6" w:rsidTr="004034AC">
        <w:trPr>
          <w:cnfStyle w:val="00000001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of Education</w:t>
            </w:r>
          </w:p>
        </w:tc>
        <w:tc>
          <w:tcPr>
            <w:tcW w:w="7087" w:type="dxa"/>
            <w:hideMark/>
          </w:tcPr>
          <w:p w:rsidR="009F1E17" w:rsidRPr="00D970A6" w:rsidRDefault="009F1E17" w:rsidP="004034AC">
            <w:pPr>
              <w:cnfStyle w:val="000000010000"/>
              <w:rPr>
                <w:rFonts w:ascii="Arial" w:hAnsi="Arial" w:cs="Arial"/>
                <w:u w:val="single"/>
              </w:rPr>
            </w:pPr>
            <w:r w:rsidRPr="00D970A6">
              <w:rPr>
                <w:rFonts w:ascii="Arial" w:hAnsi="Arial" w:cs="Arial"/>
                <w:u w:val="single"/>
              </w:rPr>
              <w:t>Department of Education functions plus</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A range of children’s services , policy responsibility for Children and Young People but  excluding child protection which remains with the Department of Health Social Services and Public Safety</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Policy responsibility for Childcare Strategy from the Office of the First Minister and Deputy First Minister</w:t>
            </w:r>
          </w:p>
        </w:tc>
      </w:tr>
      <w:tr w:rsidR="009F1E17" w:rsidRPr="00D970A6" w:rsidTr="004034AC">
        <w:trPr>
          <w:cnfStyle w:val="00000010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of Finance</w:t>
            </w:r>
          </w:p>
        </w:tc>
        <w:tc>
          <w:tcPr>
            <w:tcW w:w="7087" w:type="dxa"/>
            <w:hideMark/>
          </w:tcPr>
          <w:p w:rsidR="009F1E17" w:rsidRPr="00D970A6" w:rsidRDefault="009F1E17" w:rsidP="004034AC">
            <w:pPr>
              <w:cnfStyle w:val="000000100000"/>
              <w:rPr>
                <w:rFonts w:ascii="Arial" w:hAnsi="Arial" w:cs="Arial"/>
                <w:u w:val="single"/>
              </w:rPr>
            </w:pPr>
            <w:r w:rsidRPr="00D970A6">
              <w:rPr>
                <w:rFonts w:ascii="Arial" w:hAnsi="Arial" w:cs="Arial"/>
                <w:u w:val="single"/>
              </w:rPr>
              <w:t xml:space="preserve"> Department of Finance Personnel remains unchanged </w:t>
            </w:r>
          </w:p>
          <w:p w:rsidR="009F1E17" w:rsidRPr="00D970A6" w:rsidRDefault="009F1E17" w:rsidP="009F1E17">
            <w:pPr>
              <w:pStyle w:val="ListParagraph"/>
              <w:numPr>
                <w:ilvl w:val="0"/>
                <w:numId w:val="1"/>
              </w:numPr>
              <w:cnfStyle w:val="000000100000"/>
              <w:rPr>
                <w:rFonts w:ascii="Arial" w:hAnsi="Arial" w:cs="Arial"/>
                <w:sz w:val="22"/>
                <w:szCs w:val="22"/>
              </w:rPr>
            </w:pPr>
            <w:r w:rsidRPr="00D970A6">
              <w:rPr>
                <w:rFonts w:ascii="Arial" w:hAnsi="Arial" w:cs="Arial"/>
                <w:sz w:val="22"/>
                <w:szCs w:val="22"/>
              </w:rPr>
              <w:t>Northern Ireland Direct Central Editorial Team from the Office of the First Minister and Deputy First Minister</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Government Advertising Unit from the Office of the First Minister and Deputy First Minister</w:t>
            </w:r>
          </w:p>
        </w:tc>
      </w:tr>
      <w:tr w:rsidR="009F1E17" w:rsidRPr="00D970A6" w:rsidTr="004034AC">
        <w:trPr>
          <w:cnfStyle w:val="00000001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of Health</w:t>
            </w:r>
          </w:p>
        </w:tc>
        <w:tc>
          <w:tcPr>
            <w:tcW w:w="7087" w:type="dxa"/>
            <w:hideMark/>
          </w:tcPr>
          <w:p w:rsidR="009F1E17" w:rsidRPr="00D970A6" w:rsidRDefault="009F1E17" w:rsidP="004034AC">
            <w:pPr>
              <w:cnfStyle w:val="000000010000"/>
              <w:rPr>
                <w:rFonts w:ascii="Arial" w:hAnsi="Arial" w:cs="Arial"/>
              </w:rPr>
            </w:pPr>
            <w:r w:rsidRPr="00D970A6">
              <w:rPr>
                <w:rFonts w:ascii="Arial" w:hAnsi="Arial" w:cs="Arial"/>
                <w:u w:val="single"/>
              </w:rPr>
              <w:t>Department of Health Social Services and Public Safety</w:t>
            </w:r>
            <w:r w:rsidRPr="00D970A6">
              <w:rPr>
                <w:rFonts w:ascii="Arial" w:hAnsi="Arial" w:cs="Arial"/>
              </w:rPr>
              <w:t xml:space="preserve"> remains</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Northern Ireland Fire and Rescue to be retained</w:t>
            </w:r>
          </w:p>
        </w:tc>
      </w:tr>
      <w:tr w:rsidR="009F1E17" w:rsidRPr="00D970A6" w:rsidTr="004034AC">
        <w:trPr>
          <w:cnfStyle w:val="00000010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of Justice</w:t>
            </w:r>
          </w:p>
        </w:tc>
        <w:tc>
          <w:tcPr>
            <w:tcW w:w="7087" w:type="dxa"/>
            <w:hideMark/>
          </w:tcPr>
          <w:p w:rsidR="009F1E17" w:rsidRPr="00D970A6" w:rsidRDefault="009F1E17" w:rsidP="004034AC">
            <w:pPr>
              <w:cnfStyle w:val="000000100000"/>
              <w:rPr>
                <w:rFonts w:ascii="Arial" w:hAnsi="Arial" w:cs="Arial"/>
                <w:u w:val="single"/>
              </w:rPr>
            </w:pPr>
            <w:r w:rsidRPr="00D970A6">
              <w:rPr>
                <w:rFonts w:ascii="Arial" w:hAnsi="Arial" w:cs="Arial"/>
                <w:u w:val="single"/>
              </w:rPr>
              <w:t xml:space="preserve">Department of Justice functions plus </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Planning Appeals Commission and Water Appeals Commission administration support from the Office of the First Minister and Deputy First Minister</w:t>
            </w:r>
          </w:p>
        </w:tc>
      </w:tr>
      <w:tr w:rsidR="009F1E17" w:rsidRPr="00D970A6" w:rsidTr="004034AC">
        <w:trPr>
          <w:cnfStyle w:val="00000001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for Communities</w:t>
            </w:r>
          </w:p>
        </w:tc>
        <w:tc>
          <w:tcPr>
            <w:tcW w:w="7087" w:type="dxa"/>
            <w:hideMark/>
          </w:tcPr>
          <w:p w:rsidR="009F1E17" w:rsidRPr="00D970A6" w:rsidRDefault="009F1E17" w:rsidP="004034AC">
            <w:pPr>
              <w:cnfStyle w:val="000000010000"/>
              <w:rPr>
                <w:rFonts w:ascii="Arial" w:hAnsi="Arial" w:cs="Arial"/>
                <w:u w:val="single"/>
              </w:rPr>
            </w:pPr>
            <w:r w:rsidRPr="00D970A6">
              <w:rPr>
                <w:rFonts w:ascii="Arial" w:hAnsi="Arial" w:cs="Arial"/>
                <w:u w:val="single"/>
              </w:rPr>
              <w:t>Department for Social Development functions plus</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Department of Culture, Arts and Leisure functions including Public Records Office Northern Ireland and excluding inland fisheries and waterways</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Employment Service from the Department for Employment and Learning</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Local Government from the Department of the Environment including ‘Built Heritage’ from Northern Ireland Environment Agency</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Functions from the Office of the First Minister and Deputy First Minister</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 xml:space="preserve">Policy responsibility for Older People, active Aging Strategy. Sponsor branch for Commissioner for Older People with the exception of the appointment of the Commissioner </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Policy responsibility for Disability Strategy, Anti Poverty and Child Poverty. Co-ordinating work across departments</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Sponsor branch for Commissioner for Children and Young People with the exception of the appointment of the Commissioner</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Policy responsibility for gender and sexual orientation</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Debt advice from the Department of Enterprise Trade and Investment</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Financial Capability Strategy from the Department of Enterprise Trade and Investment</w:t>
            </w:r>
          </w:p>
          <w:p w:rsidR="009F1E17" w:rsidRPr="00D970A6" w:rsidRDefault="009F1E17" w:rsidP="009F1E17">
            <w:pPr>
              <w:pStyle w:val="ListParagraph"/>
              <w:widowControl/>
              <w:numPr>
                <w:ilvl w:val="0"/>
                <w:numId w:val="1"/>
              </w:numPr>
              <w:suppressAutoHyphens w:val="0"/>
              <w:cnfStyle w:val="000000010000"/>
              <w:rPr>
                <w:rFonts w:ascii="Arial" w:hAnsi="Arial" w:cs="Arial"/>
                <w:sz w:val="22"/>
                <w:szCs w:val="22"/>
              </w:rPr>
            </w:pPr>
            <w:r w:rsidRPr="00D970A6">
              <w:rPr>
                <w:rFonts w:ascii="Arial" w:hAnsi="Arial" w:cs="Arial"/>
                <w:sz w:val="22"/>
                <w:szCs w:val="22"/>
              </w:rPr>
              <w:t>Economic Inactivity Strategy from the Department for Employment and Learning</w:t>
            </w:r>
          </w:p>
        </w:tc>
      </w:tr>
      <w:tr w:rsidR="009F1E17" w:rsidRPr="00D970A6" w:rsidTr="004034AC">
        <w:trPr>
          <w:cnfStyle w:val="000000100000"/>
        </w:trPr>
        <w:tc>
          <w:tcPr>
            <w:cnfStyle w:val="001000000000"/>
            <w:tcW w:w="2235" w:type="dxa"/>
            <w:hideMark/>
          </w:tcPr>
          <w:p w:rsidR="009F1E17" w:rsidRPr="00D970A6" w:rsidRDefault="009F1E17" w:rsidP="004034AC">
            <w:pPr>
              <w:rPr>
                <w:rFonts w:ascii="Arial" w:hAnsi="Arial" w:cs="Arial"/>
              </w:rPr>
            </w:pPr>
            <w:r w:rsidRPr="00D970A6">
              <w:rPr>
                <w:rFonts w:ascii="Arial" w:hAnsi="Arial" w:cs="Arial"/>
              </w:rPr>
              <w:t>The Executive Office</w:t>
            </w:r>
          </w:p>
        </w:tc>
        <w:tc>
          <w:tcPr>
            <w:tcW w:w="7087" w:type="dxa"/>
            <w:hideMark/>
          </w:tcPr>
          <w:p w:rsidR="009F1E17" w:rsidRPr="00D970A6" w:rsidRDefault="009F1E17" w:rsidP="004034AC">
            <w:pPr>
              <w:cnfStyle w:val="000000100000"/>
              <w:rPr>
                <w:rFonts w:ascii="Arial" w:hAnsi="Arial" w:cs="Arial"/>
              </w:rPr>
            </w:pPr>
            <w:r w:rsidRPr="00D970A6">
              <w:rPr>
                <w:rFonts w:ascii="Arial" w:hAnsi="Arial" w:cs="Arial"/>
                <w:u w:val="single"/>
              </w:rPr>
              <w:t>Office of the First Minister and Deputy First Minister</w:t>
            </w:r>
            <w:r w:rsidRPr="00D970A6">
              <w:rPr>
                <w:rFonts w:ascii="Arial" w:hAnsi="Arial" w:cs="Arial"/>
              </w:rPr>
              <w:t xml:space="preserve"> plus</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Strategic Policy and Innovation Unit</w:t>
            </w:r>
          </w:p>
          <w:p w:rsidR="009F1E17" w:rsidRPr="00D970A6" w:rsidRDefault="009F1E17" w:rsidP="004034AC">
            <w:pPr>
              <w:cnfStyle w:val="000000100000"/>
              <w:rPr>
                <w:rFonts w:ascii="Arial" w:hAnsi="Arial" w:cs="Arial"/>
              </w:rPr>
            </w:pPr>
            <w:r w:rsidRPr="00D970A6">
              <w:rPr>
                <w:rFonts w:ascii="Arial" w:hAnsi="Arial" w:cs="Arial"/>
                <w:u w:val="single"/>
              </w:rPr>
              <w:t>Office of the First Minister and Deputy First Minister</w:t>
            </w:r>
            <w:r w:rsidRPr="00D970A6">
              <w:rPr>
                <w:rFonts w:ascii="Arial" w:hAnsi="Arial" w:cs="Arial"/>
              </w:rPr>
              <w:t xml:space="preserve"> less</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Policy responsibility for Sustainability Strategy</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 xml:space="preserve">Policy responsibility for </w:t>
            </w:r>
            <w:proofErr w:type="gramStart"/>
            <w:r w:rsidRPr="00D970A6">
              <w:rPr>
                <w:rFonts w:ascii="Arial" w:hAnsi="Arial" w:cs="Arial"/>
                <w:sz w:val="22"/>
                <w:szCs w:val="22"/>
              </w:rPr>
              <w:t>Older</w:t>
            </w:r>
            <w:proofErr w:type="gramEnd"/>
            <w:r w:rsidRPr="00D970A6">
              <w:rPr>
                <w:rFonts w:ascii="Arial" w:hAnsi="Arial" w:cs="Arial"/>
                <w:sz w:val="22"/>
                <w:szCs w:val="22"/>
              </w:rPr>
              <w:t xml:space="preserve"> people, Active Aging Strategy. Sponsor Branch for Older People with exception of appointment of Commissioner</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Policy responsibility for Disability Strategy, Anti Poverty and Child Poverty. Co-ordinating work across departments</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Policy responsibility for Childcare Strategy</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Policy responsibility for Children and Young People. Sponsor Branch for Commissioner for Children and Young People with the exception of the appointment of the Commissioner</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Policy responsibility for Gender and Sexual Orientation</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Responsibility for Age Discrimination under Regulation 37 of the Employment Equality (Age) Regulation (NI) 2006</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Crumlin Road Goal Programme- Project Management</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St Lucia ex-Ministry of Defence site</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Planning Appeals Commission and Water Appeals Commission administrative support</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Northern Ireland Direct Central Editorial Team</w:t>
            </w:r>
          </w:p>
          <w:p w:rsidR="009F1E17" w:rsidRPr="00D970A6" w:rsidRDefault="009F1E17" w:rsidP="009F1E17">
            <w:pPr>
              <w:pStyle w:val="ListParagraph"/>
              <w:widowControl/>
              <w:numPr>
                <w:ilvl w:val="0"/>
                <w:numId w:val="1"/>
              </w:numPr>
              <w:suppressAutoHyphens w:val="0"/>
              <w:cnfStyle w:val="000000100000"/>
              <w:rPr>
                <w:rFonts w:ascii="Arial" w:hAnsi="Arial" w:cs="Arial"/>
                <w:sz w:val="22"/>
                <w:szCs w:val="22"/>
              </w:rPr>
            </w:pPr>
            <w:r w:rsidRPr="00D970A6">
              <w:rPr>
                <w:rFonts w:ascii="Arial" w:hAnsi="Arial" w:cs="Arial"/>
                <w:sz w:val="22"/>
                <w:szCs w:val="22"/>
              </w:rPr>
              <w:t xml:space="preserve">Government Advertising Unit   </w:t>
            </w:r>
          </w:p>
        </w:tc>
      </w:tr>
    </w:tbl>
    <w:p w:rsidR="009F1E17" w:rsidRDefault="009F1E17" w:rsidP="009F1E17">
      <w:pPr>
        <w:jc w:val="center"/>
        <w:rPr>
          <w:rFonts w:ascii="Arial" w:hAnsi="Arial" w:cs="Arial"/>
          <w:b/>
          <w:sz w:val="24"/>
          <w:szCs w:val="24"/>
        </w:rPr>
      </w:pPr>
    </w:p>
    <w:p w:rsidR="00A1173B" w:rsidRDefault="009F1E17" w:rsidP="009F1E17">
      <w:r>
        <w:rPr>
          <w:rFonts w:ascii="Arial" w:hAnsi="Arial" w:cs="Arial"/>
        </w:rPr>
        <w:t>If a related function moves to a new department the associated Arms Length Body (ALB) will move to the new department. The necessary amendments will be made to the Transfer of Functions Order and the Departments Bill will be introduced into the Assembly in November 2015. Any amendments to the responsibilities of ALBs will be provided subsequently.</w:t>
      </w:r>
    </w:p>
    <w:sectPr w:rsidR="00A1173B" w:rsidSect="00A117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D3CA1"/>
    <w:multiLevelType w:val="hybridMultilevel"/>
    <w:tmpl w:val="16D44498"/>
    <w:lvl w:ilvl="0" w:tplc="1302B624">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9F1E17"/>
    <w:rsid w:val="000C194B"/>
    <w:rsid w:val="0023597F"/>
    <w:rsid w:val="002515F1"/>
    <w:rsid w:val="009330AB"/>
    <w:rsid w:val="009F1E17"/>
    <w:rsid w:val="00A117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F1E17"/>
    <w:pPr>
      <w:widowControl w:val="0"/>
      <w:suppressAutoHyphens/>
      <w:spacing w:after="0" w:line="240" w:lineRule="auto"/>
      <w:ind w:left="720"/>
      <w:contextualSpacing/>
    </w:pPr>
    <w:rPr>
      <w:rFonts w:ascii="Liberation Serif" w:eastAsia="SimSun" w:hAnsi="Liberation Serif" w:cs="Mangal"/>
      <w:sz w:val="24"/>
      <w:szCs w:val="21"/>
      <w:lang w:eastAsia="zh-CN" w:bidi="hi-I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qFormat/>
    <w:locked/>
    <w:rsid w:val="009F1E17"/>
    <w:rPr>
      <w:rFonts w:ascii="Liberation Serif" w:eastAsia="SimSun" w:hAnsi="Liberation Serif" w:cs="Mangal"/>
      <w:sz w:val="24"/>
      <w:szCs w:val="21"/>
      <w:lang w:eastAsia="zh-CN" w:bidi="hi-IN"/>
    </w:rPr>
  </w:style>
  <w:style w:type="table" w:customStyle="1" w:styleId="LightGrid-Accent11">
    <w:name w:val="Light Grid - Accent 11"/>
    <w:basedOn w:val="TableNormal"/>
    <w:uiPriority w:val="62"/>
    <w:rsid w:val="009F1E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4078</Characters>
  <Application>Microsoft Office Word</Application>
  <DocSecurity>0</DocSecurity>
  <Lines>33</Lines>
  <Paragraphs>9</Paragraphs>
  <ScaleCrop>false</ScaleCrop>
  <Company>IT Assist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Patterson</dc:creator>
  <cp:keywords/>
  <dc:description/>
  <cp:lastModifiedBy/>
  <cp:revision>1</cp:revision>
  <dcterms:created xsi:type="dcterms:W3CDTF">2016-02-16T15:51:00Z</dcterms:created>
</cp:coreProperties>
</file>